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-393699</wp:posOffset>
                </wp:positionV>
                <wp:extent cx="320675" cy="1841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674" cy="1841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type="#_x0000_t3" style="position:absolute;z-index:502791168;o:allowoverlap:true;o:allowincell:true;mso-position-horizontal-relative:text;margin-left:231.95pt;mso-position-horizontal:absolute;mso-position-vertical-relative:text;margin-top:-31.00pt;mso-position-vertical:absolute;width:25.25pt;height:14.5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/>
        <w:jc w:val="center"/>
        <w:keepLines/>
        <w:keepNext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                                                                       №_________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установлении порядка подготовки и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комплексного плана транспортного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обслуживания населения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 Федеральным законом от 13.07.2015 № 220-ФЗ </w:t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ельные акты Российской Федерации», законом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30.03.2016 № 893-ОЗ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отдельных вопросах организации регулярных перевозок пассажиров и багажа автомобильным транспортом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прилагаемый Порядок подготовки и реализации регионального комплексного плана транспортного обслуживания населения в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утратившими силу следующие нормативные правовые акты Еврейской автономной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правительства Еврейской автономной области от 29.03.2017 № 108-пп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 утверждении Порядка подготовки документа планирования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регулярных перевозок пассажиров и багажа автомобильным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транспортом по межмуниципальным маршрутам регулярных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перевозок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left="0"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распоряжение правительства Еврейской автономной области от 13.12.2022 № 516-рп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документа планирования регулярных перевозок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межмуниципальным маршрутам регулярных перевозок в Еврейской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автономной области на период 2023 - 2025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6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пос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тановление вступает в силу со дня его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16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  <w:tab/>
        <w:t xml:space="preserve">    </w:t>
        <w:tab/>
        <w:tab/>
        <w:tab/>
        <w:tab/>
        <w:tab/>
        <w:tab/>
        <w:t xml:space="preserve">   Р.Э.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Гольдштейн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>
        <w:tblPrEx/>
        <w:trPr/>
        <w:tc>
          <w:tcPr>
            <w:tcW w:w="3190" w:type="dxa"/>
            <w:textDirection w:val="lrTb"/>
            <w:noWrap/>
          </w:tcPr>
          <w:p>
            <w:pPr>
              <w:ind w:left="0" w:right="0"/>
              <w:rPr>
                <w:rFonts w:eastAsiaTheme="majorEastAsia"/>
                <w:szCs w:val="28"/>
                <w:lang w:eastAsia="ru-RU"/>
              </w:rPr>
              <w:outlineLvl w:val="0"/>
            </w:pPr>
            <w:r>
              <w:rPr>
                <w:rFonts w:eastAsiaTheme="majorEastAsia"/>
                <w:szCs w:val="28"/>
                <w:lang w:eastAsia="ru-RU"/>
              </w:rPr>
            </w:r>
            <w:r>
              <w:rPr>
                <w:rFonts w:eastAsiaTheme="majorEastAsia"/>
                <w:szCs w:val="28"/>
                <w:lang w:eastAsia="ru-RU"/>
              </w:rPr>
            </w:r>
            <w:r>
              <w:rPr>
                <w:rFonts w:eastAsiaTheme="majorEastAsia"/>
                <w:szCs w:val="28"/>
                <w:lang w:eastAsia="ru-RU"/>
              </w:rPr>
            </w:r>
          </w:p>
        </w:tc>
        <w:tc>
          <w:tcPr>
            <w:tcW w:w="2305" w:type="dxa"/>
            <w:textDirection w:val="lrTb"/>
            <w:noWrap/>
          </w:tcPr>
          <w:p>
            <w:pPr>
              <w:ind w:left="0" w:right="0"/>
              <w:spacing w:after="0" w:afterAutospacing="0" w:line="240" w:lineRule="auto"/>
              <w:rPr>
                <w:rFonts w:eastAsiaTheme="majorEastAsia"/>
                <w:szCs w:val="28"/>
                <w:lang w:eastAsia="ru-RU"/>
              </w:rPr>
              <w:outlineLvl w:val="0"/>
            </w:pPr>
            <w:r>
              <w:rPr>
                <w:rFonts w:eastAsiaTheme="majorEastAsia"/>
                <w:szCs w:val="28"/>
                <w:lang w:eastAsia="ru-RU"/>
              </w:rPr>
            </w:r>
            <w:r>
              <w:rPr>
                <w:rFonts w:eastAsiaTheme="majorEastAsia"/>
                <w:szCs w:val="28"/>
                <w:lang w:eastAsia="ru-RU"/>
              </w:rPr>
            </w:r>
            <w:r>
              <w:rPr>
                <w:rFonts w:eastAsiaTheme="majorEastAsia"/>
                <w:szCs w:val="28"/>
                <w:lang w:eastAsia="ru-RU"/>
              </w:rPr>
            </w:r>
          </w:p>
        </w:tc>
        <w:tc>
          <w:tcPr>
            <w:tcW w:w="4076" w:type="dxa"/>
            <w:textDirection w:val="lrTb"/>
            <w:noWrap/>
          </w:tcPr>
          <w:p>
            <w:pPr>
              <w:ind w:left="0" w:right="0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ajorEastAsia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 w:cs="Times New Roman" w:eastAsiaTheme="maj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aj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 w:eastAsiaTheme="maj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Постановлением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_________________ №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/>
              <w:spacing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54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подготовки и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комплексного плана транспортного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обслуживания населения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Порядок подготовки и реализации регионального комплексного плана транспортного обслуживания населения в Еврейской автономной области (далее – Комплексный план) определяет порядок подготовки и реализации комплексного плана, его цели и срок действия.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Целями разработки комплексного плана являются: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опреде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ление приоритетов, целей и задач транспортного обслуживания населения в Еврейской автономной области при организации регулярных перевозок пассажиров и багажа автомобильным транспортом во взаимосвязи с перевозками пассажиров и багажа иными видами транспорта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общего пользования;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определение мероприятий, обеспечивающих достижение целевых показателей, установленных региональным стандартом транспортного обслуживания населения, сроки реализации данных мероприятий;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установление перечня мероприятий по развитию регулярных перевозок по межмуниципальным маршрутам регулярных перевозок автомобильным транспортом.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Комплексный план состоит из утверждаемой и обосновывающей частей, разрабатывается на срок не менее трех лет и утверждается распоряжением правительства Еврейской автономной области.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Комплексный план разрабатывается в соответствии с Методикой формирования региональных комплексных планов транспортного обслуживания населения, утвержденной постановлением Правительства Российской Федерации от 24.11.2023 № 1983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методики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формирования региональных комплексных планов транспортного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обслуживания населения»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Подготовку проекта комплексного плана, а также внесение в него изменений обеспечивает департамент автомобильных дорог и транспорта правительства Еврейской автономной области, в том числе с привлечением специализированных организаций,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 от 5.04 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Реализация комплексного плана осуществляется в рамках мероприятий государственных программ Еврейской автономной области и непрограммных мероприятий.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Body Text 2"/>
    <w:basedOn w:val="718"/>
    <w:uiPriority w:val="99"/>
    <w:semiHidden/>
    <w:unhideWhenUsed/>
    <w:pPr>
      <w:contextualSpacing w:val="0"/>
      <w:ind w:left="74" w:right="-57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2024-06-04T04:49:04Z</dcterms:modified>
</cp:coreProperties>
</file>